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spacing w:lineRule="auto" w:line="240" w:before="0" w:after="0"/>
        <w:jc w:val="left"/>
        <w:rPr>
          <w:b/>
          <w:b/>
          <w:bCs/>
        </w:rPr>
      </w:pPr>
      <w:r>
        <w:rPr>
          <w:b/>
          <w:bCs/>
        </w:rPr>
        <w:t>ESP.0717.4.17.2021</w:t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sz w:val="28"/>
          <w:szCs w:val="28"/>
          <w:u w:val="none"/>
          <w:em w:val="none"/>
        </w:rPr>
        <w:t xml:space="preserve">Specyfikacja załącznik </w:t>
      </w:r>
      <w:r>
        <w:rPr>
          <w:rFonts w:eastAsia="Calibri" w:cs=""/>
          <w:b/>
          <w:i w:val="false"/>
          <w:strike w:val="false"/>
          <w:dstrike w:val="false"/>
          <w:outline w:val="false"/>
          <w:shadow w:val="false"/>
          <w:color w:val="000000"/>
          <w:kern w:val="0"/>
          <w:sz w:val="28"/>
          <w:szCs w:val="28"/>
          <w:u w:val="none"/>
          <w:em w:val="none"/>
          <w:lang w:val="pl-PL" w:eastAsia="en-US" w:bidi="ar-SA"/>
        </w:rPr>
        <w:t>3</w:t>
      </w:r>
    </w:p>
    <w:p>
      <w:pPr>
        <w:pStyle w:val="Normal"/>
        <w:bidi w:val="0"/>
        <w:spacing w:lineRule="auto" w:line="240" w:before="0" w:after="0"/>
        <w:jc w:val="center"/>
        <w:rPr>
          <w:rFonts w:ascii="Calibri" w:hAnsi="Calibri"/>
          <w:b/>
          <w:b/>
          <w:i w:val="false"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pPr>
      <w:r>
        <w:rPr>
          <w:b/>
          <w:i w:val="false"/>
          <w:strike w:val="false"/>
          <w:dstrike w:val="false"/>
          <w:outline w:val="false"/>
          <w:shadow w:val="false"/>
          <w:color w:val="000000"/>
          <w:u w:val="none"/>
          <w:em w:val="none"/>
        </w:rPr>
      </w:r>
    </w:p>
    <w:p>
      <w:pPr>
        <w:pStyle w:val="Normal"/>
        <w:bidi w:val="0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Dostawa wyposażenia dla Ekologicznej Szkoły Podstawowej Nr 7 im. Juliana Tuwima w Bielawie w ramach programu "Laboratoria Przyszłości"</w:t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Tabela-Siatka"/>
        <w:tblW w:w="1354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11334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Nazwa</w:t>
            </w:r>
          </w:p>
        </w:tc>
        <w:tc>
          <w:tcPr>
            <w:tcW w:w="11334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Zastosowanie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będzie wykorzystywany dla potrzeb obróbki grafiki,  aplikacji edukacyjnych, , dostępu do Internetu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Matryca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Komputer przenośny typu notebook z ekranem 15,6" o rozdzielczości FHD (1920 x 1080) z podświetleniem LED matryca typu WVA,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Procesor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Procesor osiągający wynik min. 12200 punktów w teście PassMark CPU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RAM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32 GB DDR4 możliwość rozbudowy do min 64GB, Szybkość min 2900MHz jeden slot wolny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masowa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512 GB SSD NVMe PCI 3.0x4, fabryczna możliwość instalacji drugiego dysku 2,5”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</w:rPr>
            </w:pPr>
            <w:r>
              <w:rPr>
                <w:rFonts w:cs="Tahoma" w:ascii="Tahoma" w:hAnsi="Tahoma"/>
                <w:bCs/>
                <w:color w:val="00B050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Dodatkowa karta graficzna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Karta graficzna – wydajność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 xml:space="preserve">Wydajność osiągająca wynik min. 2500 punktów w teście PassMark Videocard Mark według wyników ze strony </w:t>
            </w: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Style w:val="Czeinternetowe"/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Pamięć karty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Min 2 GB GDDR5 SDRAM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Multimedia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Bateria i zasilanie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Bateria min. 60 Wh, Zasilacz o mocy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min. 85W.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Waga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Waga komputera z baterią  nie większa niż 2 kg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Obudowa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Obudowa notebooka wzmocniona, szkielet i zawiasy notebooka wykonany z wzmacnianego metalu.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Klawiatura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Podświetlana klawiatura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BIOS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Bezpieczeństwo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Dedykowany układ szyfrujący TPM 2.0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Certyfikaty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Certyfikat Energy Star min. 6.0 lub TCO dla oferowanego modelu.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System operacyjny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r) wbudowany system pomocy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 xml:space="preserve">• </w:t>
            </w: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postaci.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Wymagania dodatkowe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Wbudowane porty i złącza: HDMI, RJ-45 (10/100/1000), min. min. 2 port USB 3.2, czytnik kart microSD, współdzielone złącze słuchawkowe stereo i złącze mikrofonowe, złącze zasilania ( zasilacz nie może zajmować portów USB 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Zintegrowana w postaci wewnętrznego modułu mini-PCI Express karta sieci WLAN 802.11AC</w:t>
            </w:r>
            <w:r>
              <w:rPr>
                <w:rFonts w:eastAsia="Calibri" w:cs="Tahoma" w:ascii="Tahoma" w:hAnsi="Tahoma"/>
                <w:color w:val="00B050"/>
                <w:kern w:val="0"/>
                <w:sz w:val="20"/>
                <w:szCs w:val="20"/>
                <w:lang w:val="pl-PL" w:eastAsia="en-US" w:bidi="ar-SA"/>
              </w:rPr>
              <w:t>,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 moduł bluetooth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Klawiatura (układ US -QWERTY) z wydzieloną klawiaturą numeryczną, t</w:t>
            </w: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2"/>
                <w:szCs w:val="20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Złącza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 xml:space="preserve">Złącze Thunderbold , </w:t>
            </w:r>
            <w:r>
              <w:rPr>
                <w:rFonts w:eastAsia="Calibri"/>
                <w:kern w:val="0"/>
                <w:sz w:val="22"/>
                <w:lang w:val="pl-PL" w:eastAsia="en-US" w:bidi="ar-SA"/>
              </w:rPr>
              <w:t>USB-C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Czytnik linii papilarnych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Komunikacja bezprzewodowa</w:t>
            </w:r>
          </w:p>
        </w:tc>
        <w:tc>
          <w:tcPr>
            <w:tcW w:w="11334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802.11a/b/g/n/ac/ax, Bluetooth 5.1</w:t>
            </w:r>
          </w:p>
        </w:tc>
      </w:tr>
      <w:tr>
        <w:trPr/>
        <w:tc>
          <w:tcPr>
            <w:tcW w:w="2210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kern w:val="0"/>
                <w:sz w:val="20"/>
                <w:szCs w:val="20"/>
                <w:lang w:val="pl-PL" w:eastAsia="en-US" w:bidi="ar-SA"/>
              </w:rPr>
              <w:t>Warunki gwarancji</w:t>
            </w:r>
          </w:p>
        </w:tc>
        <w:tc>
          <w:tcPr>
            <w:tcW w:w="11334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5-letnia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Cs/>
                <w:kern w:val="0"/>
                <w:sz w:val="20"/>
                <w:szCs w:val="20"/>
                <w:lang w:val="pl-PL" w:eastAsia="en-US" w:bidi="ar-SA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>
          <w:rFonts w:cs="Calibri" w:cstheme="minorHAnsi"/>
          <w:sz w:val="40"/>
        </w:rPr>
      </w:pPr>
      <w:r>
        <w:rPr/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nhideWhenUsed/>
    <w:rsid w:val="00f85e46"/>
    <w:rPr>
      <w:color w:val="0563C1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b1e1e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200f3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761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LibreOffice/7.2.0.4$Windows_X86_64 LibreOffice_project/9a9c6381e3f7a62afc1329bd359cc48accb6435b</Application>
  <AppVersion>15.0000</AppVersion>
  <Pages>4</Pages>
  <Words>1191</Words>
  <Characters>8149</Characters>
  <CharactersWithSpaces>9243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2021-12-08T16:52:00Z</dcterms:created>
  <dc:creator>Ireneusz Lutz</dc:creator>
  <dc:description/>
  <dc:language>pl-PL</dc:language>
  <cp:lastModifiedBy/>
  <cp:lastPrinted>2021-12-13T12:25:59Z</cp:lastPrinted>
  <dcterms:modified xsi:type="dcterms:W3CDTF">2021-12-13T12:26:10Z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